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B4" w:rsidRDefault="003E30B4" w:rsidP="003E30B4">
      <w:pPr>
        <w:jc w:val="both"/>
        <w:rPr>
          <w:rFonts w:ascii="Tahoma" w:hAnsi="Tahoma" w:cs="Tahoma"/>
          <w:color w:val="262626"/>
          <w:sz w:val="28"/>
          <w:szCs w:val="28"/>
          <w:lang w:val="es-ES"/>
        </w:rPr>
      </w:pPr>
      <w:r>
        <w:rPr>
          <w:rFonts w:ascii="Tahoma" w:hAnsi="Tahoma" w:cs="Tahoma"/>
          <w:b/>
          <w:color w:val="262626"/>
          <w:sz w:val="28"/>
          <w:szCs w:val="28"/>
          <w:lang w:val="es-ES"/>
        </w:rPr>
        <w:t>MUNICIPIUL CURTEA DE ARGES</w:t>
      </w:r>
      <w:r>
        <w:rPr>
          <w:rFonts w:ascii="Tahoma" w:hAnsi="Tahoma" w:cs="Tahoma"/>
          <w:color w:val="262626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  <w:t xml:space="preserve">         </w:t>
      </w:r>
      <w:r>
        <w:rPr>
          <w:rFonts w:ascii="Tahoma" w:hAnsi="Tahoma" w:cs="Tahoma"/>
          <w:b/>
          <w:color w:val="262626"/>
          <w:sz w:val="28"/>
          <w:szCs w:val="28"/>
          <w:lang w:val="es-ES"/>
        </w:rPr>
        <w:t>CONSILIUL LOCAL</w:t>
      </w:r>
      <w:r>
        <w:rPr>
          <w:rFonts w:ascii="Tahoma" w:hAnsi="Tahoma" w:cs="Tahoma"/>
          <w:color w:val="262626"/>
          <w:sz w:val="28"/>
          <w:szCs w:val="28"/>
          <w:lang w:val="es-ES"/>
        </w:rPr>
        <w:t xml:space="preserve">     </w:t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  <w:t xml:space="preserve">                   </w:t>
      </w:r>
    </w:p>
    <w:p w:rsidR="003E30B4" w:rsidRDefault="003E30B4" w:rsidP="003E30B4">
      <w:pPr>
        <w:jc w:val="both"/>
        <w:rPr>
          <w:rFonts w:ascii="Tahoma" w:hAnsi="Tahoma" w:cs="Tahoma"/>
          <w:color w:val="262626"/>
          <w:sz w:val="28"/>
          <w:szCs w:val="28"/>
          <w:lang w:val="es-ES"/>
        </w:rPr>
      </w:pPr>
    </w:p>
    <w:p w:rsidR="003E30B4" w:rsidRDefault="003E30B4" w:rsidP="003E30B4">
      <w:pPr>
        <w:jc w:val="both"/>
        <w:rPr>
          <w:rFonts w:ascii="Tahoma" w:hAnsi="Tahoma" w:cs="Tahoma"/>
          <w:color w:val="262626"/>
          <w:sz w:val="28"/>
          <w:szCs w:val="28"/>
          <w:lang w:val="es-ES"/>
        </w:rPr>
      </w:pPr>
    </w:p>
    <w:p w:rsidR="003E30B4" w:rsidRDefault="003E30B4" w:rsidP="003E30B4">
      <w:pPr>
        <w:jc w:val="center"/>
        <w:rPr>
          <w:rFonts w:ascii="Tahoma" w:hAnsi="Tahoma" w:cs="Tahoma"/>
          <w:b/>
          <w:color w:val="262626"/>
          <w:sz w:val="28"/>
          <w:szCs w:val="28"/>
          <w:lang w:val="es-ES"/>
        </w:rPr>
      </w:pPr>
      <w:r>
        <w:rPr>
          <w:rFonts w:ascii="Tahoma" w:hAnsi="Tahoma" w:cs="Tahoma"/>
          <w:b/>
          <w:color w:val="262626"/>
          <w:sz w:val="28"/>
          <w:szCs w:val="28"/>
          <w:lang w:val="es-ES"/>
        </w:rPr>
        <w:t xml:space="preserve"> HOTARARE nr. 86 / 2014</w:t>
      </w:r>
    </w:p>
    <w:p w:rsidR="003E30B4" w:rsidRDefault="003E30B4" w:rsidP="003E30B4">
      <w:pPr>
        <w:jc w:val="center"/>
        <w:rPr>
          <w:rFonts w:ascii="Tahoma" w:hAnsi="Tahoma" w:cs="Tahoma"/>
          <w:b/>
          <w:color w:val="262626"/>
          <w:sz w:val="28"/>
          <w:szCs w:val="28"/>
          <w:lang w:val="es-ES"/>
        </w:rPr>
      </w:pPr>
      <w:r>
        <w:rPr>
          <w:rFonts w:ascii="Tahoma" w:hAnsi="Tahoma" w:cs="Tahoma"/>
          <w:b/>
          <w:color w:val="262626"/>
          <w:sz w:val="28"/>
          <w:szCs w:val="28"/>
          <w:lang w:val="es-ES"/>
        </w:rPr>
        <w:t xml:space="preserve">pentru aprobarea desfasurarii Festivalului Medieval </w:t>
      </w:r>
    </w:p>
    <w:p w:rsidR="003E30B4" w:rsidRDefault="003E30B4" w:rsidP="003E30B4">
      <w:pPr>
        <w:jc w:val="center"/>
        <w:rPr>
          <w:rFonts w:ascii="Tahoma" w:hAnsi="Tahoma" w:cs="Tahoma"/>
          <w:b/>
          <w:color w:val="262626"/>
          <w:sz w:val="28"/>
          <w:szCs w:val="28"/>
          <w:lang w:val="es-ES"/>
        </w:rPr>
      </w:pPr>
      <w:r>
        <w:rPr>
          <w:rFonts w:ascii="Tahoma" w:hAnsi="Tahoma" w:cs="Tahoma"/>
          <w:b/>
          <w:color w:val="262626"/>
          <w:sz w:val="28"/>
          <w:szCs w:val="28"/>
          <w:lang w:val="es-ES"/>
        </w:rPr>
        <w:t>Curtea Domneasca editia I in zilele de 27 si 28 septembrie 2014</w:t>
      </w:r>
    </w:p>
    <w:p w:rsidR="003E30B4" w:rsidRDefault="003E30B4" w:rsidP="003E30B4">
      <w:pPr>
        <w:pStyle w:val="Listparagraf"/>
        <w:spacing w:after="0"/>
        <w:rPr>
          <w:rFonts w:ascii="Tahoma" w:hAnsi="Tahoma" w:cs="Tahoma"/>
          <w:color w:val="262626"/>
          <w:sz w:val="28"/>
          <w:szCs w:val="28"/>
          <w:lang w:val="es-ES"/>
        </w:rPr>
      </w:pPr>
      <w:bookmarkStart w:id="0" w:name="_GoBack"/>
      <w:bookmarkEnd w:id="0"/>
    </w:p>
    <w:p w:rsidR="003E30B4" w:rsidRDefault="003E30B4" w:rsidP="003E30B4">
      <w:pPr>
        <w:jc w:val="both"/>
        <w:rPr>
          <w:rFonts w:ascii="Tahoma" w:hAnsi="Tahoma" w:cs="Tahoma"/>
          <w:color w:val="262626"/>
          <w:sz w:val="28"/>
          <w:szCs w:val="28"/>
          <w:lang w:val="es-ES"/>
        </w:rPr>
      </w:pP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  <w:lang w:val="es-ES"/>
        </w:rPr>
      </w:pPr>
      <w:r>
        <w:rPr>
          <w:rFonts w:ascii="Tahoma" w:hAnsi="Tahoma" w:cs="Tahoma"/>
          <w:color w:val="262626"/>
          <w:sz w:val="28"/>
          <w:szCs w:val="28"/>
          <w:lang w:val="es-ES"/>
        </w:rPr>
        <w:t>Consiliul Local al Municipiului Curtea de Arges intrunit in sedinta convocata de indata.</w:t>
      </w: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  <w:proofErr w:type="spellStart"/>
      <w:r>
        <w:rPr>
          <w:rFonts w:ascii="Tahoma" w:hAnsi="Tahoma" w:cs="Tahoma"/>
          <w:color w:val="262626"/>
          <w:sz w:val="28"/>
          <w:szCs w:val="28"/>
        </w:rPr>
        <w:t>Avand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vedere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>:</w:t>
      </w: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  <w:r>
        <w:rPr>
          <w:rFonts w:ascii="Tahoma" w:hAnsi="Tahoma" w:cs="Tahoma"/>
          <w:color w:val="262626"/>
          <w:sz w:val="28"/>
          <w:szCs w:val="28"/>
        </w:rPr>
        <w:t>-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Referatul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Biroului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administrare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domeniului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si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62626"/>
          <w:sz w:val="28"/>
          <w:szCs w:val="28"/>
        </w:rPr>
        <w:t>privat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color w:val="262626"/>
          <w:sz w:val="28"/>
          <w:szCs w:val="28"/>
        </w:rPr>
        <w:t>. 23621 / 23.09.2014;</w:t>
      </w: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  <w:r>
        <w:rPr>
          <w:rFonts w:ascii="Tahoma" w:hAnsi="Tahoma" w:cs="Tahoma"/>
          <w:color w:val="262626"/>
          <w:sz w:val="28"/>
          <w:szCs w:val="28"/>
        </w:rPr>
        <w:t>-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Prevederile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alin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color w:val="262626"/>
          <w:sz w:val="28"/>
          <w:szCs w:val="28"/>
        </w:rPr>
        <w:t>a</w:t>
      </w:r>
      <w:proofErr w:type="gramEnd"/>
      <w:r>
        <w:rPr>
          <w:rFonts w:ascii="Tahoma" w:hAnsi="Tahoma" w:cs="Tahoma"/>
          <w:color w:val="262626"/>
          <w:sz w:val="28"/>
          <w:szCs w:val="28"/>
        </w:rPr>
        <w:t xml:space="preserve"> pct. 4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si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10 din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Legea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nr. 215 / 2001;</w:t>
      </w: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  <w:r>
        <w:rPr>
          <w:rFonts w:ascii="Tahoma" w:hAnsi="Tahoma" w:cs="Tahoma"/>
          <w:color w:val="262626"/>
          <w:sz w:val="28"/>
          <w:szCs w:val="28"/>
        </w:rPr>
        <w:t>-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Dispozitiile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art. 9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alin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. 5 din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Legea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privind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protectia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monumentelor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istorice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nr. 422/2001;</w:t>
      </w: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  <w:proofErr w:type="spellStart"/>
      <w:r>
        <w:rPr>
          <w:rFonts w:ascii="Tahoma" w:hAnsi="Tahoma" w:cs="Tahoma"/>
          <w:color w:val="262626"/>
          <w:sz w:val="28"/>
          <w:szCs w:val="28"/>
        </w:rPr>
        <w:t>Avizul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Comisiei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cultura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>.</w:t>
      </w: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  <w:r>
        <w:rPr>
          <w:rFonts w:ascii="Tahoma" w:hAnsi="Tahoma" w:cs="Tahoma"/>
          <w:color w:val="262626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temeiul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color w:val="262626"/>
          <w:sz w:val="28"/>
          <w:szCs w:val="28"/>
        </w:rPr>
        <w:t>alin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color w:val="262626"/>
          <w:sz w:val="28"/>
          <w:szCs w:val="28"/>
        </w:rPr>
        <w:t>Legea</w:t>
      </w:r>
      <w:proofErr w:type="spellEnd"/>
      <w:r>
        <w:rPr>
          <w:rFonts w:ascii="Tahoma" w:hAnsi="Tahoma" w:cs="Tahoma"/>
          <w:color w:val="262626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color w:val="262626"/>
          <w:sz w:val="28"/>
          <w:szCs w:val="28"/>
        </w:rPr>
        <w:t xml:space="preserve">. 215 / 2001. </w:t>
      </w: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</w:p>
    <w:p w:rsidR="003E30B4" w:rsidRDefault="003E30B4" w:rsidP="003E30B4">
      <w:pPr>
        <w:ind w:firstLine="708"/>
        <w:jc w:val="both"/>
        <w:rPr>
          <w:rFonts w:ascii="Tahoma" w:hAnsi="Tahoma" w:cs="Tahoma"/>
          <w:color w:val="262626"/>
          <w:sz w:val="28"/>
          <w:szCs w:val="28"/>
        </w:rPr>
      </w:pPr>
      <w:r>
        <w:rPr>
          <w:rFonts w:ascii="Tahoma" w:hAnsi="Tahoma" w:cs="Tahoma"/>
          <w:color w:val="262626"/>
          <w:sz w:val="28"/>
          <w:szCs w:val="28"/>
        </w:rPr>
        <w:t xml:space="preserve"> </w:t>
      </w:r>
    </w:p>
    <w:p w:rsidR="003E30B4" w:rsidRDefault="003E30B4" w:rsidP="003E30B4">
      <w:pPr>
        <w:jc w:val="center"/>
        <w:rPr>
          <w:rFonts w:ascii="Tahoma" w:hAnsi="Tahoma" w:cs="Tahoma"/>
          <w:b/>
          <w:color w:val="262626"/>
          <w:sz w:val="28"/>
          <w:szCs w:val="28"/>
          <w:lang w:val="es-ES"/>
        </w:rPr>
      </w:pPr>
      <w:r>
        <w:rPr>
          <w:rFonts w:ascii="Tahoma" w:hAnsi="Tahoma" w:cs="Tahoma"/>
          <w:b/>
          <w:color w:val="262626"/>
          <w:sz w:val="28"/>
          <w:szCs w:val="28"/>
          <w:lang w:val="es-ES"/>
        </w:rPr>
        <w:t>hotaraste:</w:t>
      </w:r>
    </w:p>
    <w:p w:rsidR="003E30B4" w:rsidRDefault="003E30B4" w:rsidP="003E30B4">
      <w:pPr>
        <w:jc w:val="center"/>
        <w:rPr>
          <w:rFonts w:ascii="Tahoma" w:hAnsi="Tahoma" w:cs="Tahoma"/>
          <w:b/>
          <w:color w:val="262626"/>
          <w:sz w:val="28"/>
          <w:szCs w:val="28"/>
          <w:lang w:val="es-ES"/>
        </w:rPr>
      </w:pPr>
    </w:p>
    <w:p w:rsidR="003E30B4" w:rsidRDefault="003E30B4" w:rsidP="003E30B4">
      <w:pPr>
        <w:jc w:val="center"/>
        <w:rPr>
          <w:rFonts w:ascii="Tahoma" w:hAnsi="Tahoma" w:cs="Tahoma"/>
          <w:b/>
          <w:color w:val="262626"/>
          <w:sz w:val="28"/>
          <w:szCs w:val="28"/>
          <w:lang w:val="es-ES"/>
        </w:rPr>
      </w:pPr>
    </w:p>
    <w:p w:rsidR="003E30B4" w:rsidRDefault="003E30B4" w:rsidP="003E30B4">
      <w:pPr>
        <w:jc w:val="both"/>
        <w:rPr>
          <w:rFonts w:ascii="Tahoma" w:hAnsi="Tahoma" w:cs="Tahoma"/>
          <w:color w:val="262626"/>
          <w:sz w:val="28"/>
          <w:szCs w:val="28"/>
          <w:lang w:val="es-ES"/>
        </w:rPr>
      </w:pPr>
      <w:r>
        <w:rPr>
          <w:rFonts w:ascii="Tahoma" w:hAnsi="Tahoma" w:cs="Tahoma"/>
          <w:color w:val="262626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b/>
          <w:color w:val="262626"/>
          <w:sz w:val="28"/>
          <w:szCs w:val="28"/>
          <w:u w:val="single"/>
          <w:lang w:val="es-ES"/>
        </w:rPr>
        <w:t>Art. 1</w:t>
      </w:r>
      <w:r>
        <w:rPr>
          <w:rFonts w:ascii="Tahoma" w:hAnsi="Tahoma" w:cs="Tahoma"/>
          <w:color w:val="262626"/>
          <w:sz w:val="28"/>
          <w:szCs w:val="28"/>
          <w:lang w:val="es-ES"/>
        </w:rPr>
        <w:t xml:space="preserve"> Se aproba desfasurare Festivalului Medieval Curtea Domneasca editia I in zilele de 27 si 28 septembrie in incinta Curtii Domnesti si in parcarea Bisericii Domnesti.</w:t>
      </w:r>
    </w:p>
    <w:p w:rsidR="003E30B4" w:rsidRDefault="003E30B4" w:rsidP="003E30B4">
      <w:pPr>
        <w:jc w:val="both"/>
        <w:rPr>
          <w:rFonts w:ascii="Tahoma" w:hAnsi="Tahoma" w:cs="Tahoma"/>
          <w:color w:val="262626"/>
          <w:sz w:val="28"/>
          <w:szCs w:val="28"/>
          <w:lang w:val="es-ES"/>
        </w:rPr>
      </w:pPr>
      <w:r>
        <w:rPr>
          <w:rFonts w:ascii="Tahoma" w:hAnsi="Tahoma" w:cs="Tahoma"/>
          <w:color w:val="262626"/>
          <w:sz w:val="28"/>
          <w:szCs w:val="28"/>
          <w:lang w:val="es-ES"/>
        </w:rPr>
        <w:tab/>
      </w:r>
      <w:r>
        <w:rPr>
          <w:rFonts w:ascii="Tahoma" w:hAnsi="Tahoma" w:cs="Tahoma"/>
          <w:b/>
          <w:color w:val="262626"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color w:val="262626"/>
          <w:sz w:val="28"/>
          <w:szCs w:val="28"/>
          <w:lang w:val="es-ES"/>
        </w:rPr>
        <w:t xml:space="preserve"> In cazul in care manifestarile prevazute la art. 1 produc poluare sonora sau vizuala care pot impieta asupra desfasurarii serviciului din Biserica Sfantul Nicolae Domnesc, desfasurarea acestora se face in afara orelor de program religios.</w:t>
      </w:r>
    </w:p>
    <w:p w:rsidR="003E30B4" w:rsidRDefault="003E30B4" w:rsidP="003E30B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E30B4" w:rsidRDefault="003E30B4" w:rsidP="003E30B4">
      <w:pPr>
        <w:jc w:val="both"/>
        <w:rPr>
          <w:rFonts w:ascii="Tahoma" w:hAnsi="Tahoma" w:cs="Tahoma"/>
          <w:b/>
          <w:lang w:val="es-ES"/>
        </w:rPr>
      </w:pPr>
    </w:p>
    <w:p w:rsidR="003E30B4" w:rsidRDefault="003E30B4" w:rsidP="003E30B4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3E30B4" w:rsidRDefault="003E30B4" w:rsidP="003E30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          Secretar Municipiu</w:t>
      </w:r>
    </w:p>
    <w:p w:rsidR="003E30B4" w:rsidRDefault="003E30B4" w:rsidP="003E30B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SERBAN ION                                                 CHIRCA RADU</w:t>
      </w:r>
    </w:p>
    <w:p w:rsidR="003E30B4" w:rsidRDefault="003E30B4" w:rsidP="003E30B4">
      <w:pPr>
        <w:rPr>
          <w:rFonts w:ascii="Tahoma" w:hAnsi="Tahoma" w:cs="Tahoma"/>
          <w:color w:val="262626"/>
          <w:sz w:val="28"/>
          <w:szCs w:val="28"/>
          <w:lang w:val="es-ES"/>
        </w:rPr>
      </w:pPr>
    </w:p>
    <w:p w:rsidR="003E30B4" w:rsidRDefault="003E30B4" w:rsidP="003E30B4">
      <w:pPr>
        <w:rPr>
          <w:rFonts w:ascii="Tahoma" w:hAnsi="Tahoma" w:cs="Tahoma"/>
          <w:color w:val="262626"/>
          <w:sz w:val="28"/>
          <w:szCs w:val="28"/>
          <w:lang w:val="es-ES"/>
        </w:rPr>
      </w:pPr>
    </w:p>
    <w:p w:rsidR="003E30B4" w:rsidRDefault="003E30B4" w:rsidP="003E30B4">
      <w:pPr>
        <w:rPr>
          <w:rFonts w:ascii="Tahoma" w:hAnsi="Tahoma" w:cs="Tahoma"/>
          <w:color w:val="262626"/>
          <w:sz w:val="28"/>
          <w:szCs w:val="28"/>
          <w:lang w:val="es-ES"/>
        </w:rPr>
      </w:pPr>
    </w:p>
    <w:p w:rsidR="003E30B4" w:rsidRDefault="003E30B4" w:rsidP="003E30B4">
      <w:pPr>
        <w:rPr>
          <w:rFonts w:ascii="Tahoma" w:hAnsi="Tahoma" w:cs="Tahoma"/>
          <w:i/>
          <w:color w:val="000000"/>
          <w:lang w:val="es-ES"/>
        </w:rPr>
      </w:pPr>
      <w:r>
        <w:rPr>
          <w:rFonts w:ascii="Tahoma" w:hAnsi="Tahoma" w:cs="Tahoma"/>
          <w:i/>
          <w:color w:val="262626"/>
          <w:sz w:val="28"/>
          <w:szCs w:val="28"/>
          <w:lang w:val="es-ES"/>
        </w:rPr>
        <w:t xml:space="preserve">Curtea de Arges – 23 septembrie 2014   </w:t>
      </w:r>
    </w:p>
    <w:p w:rsidR="00844002" w:rsidRDefault="00844002"/>
    <w:sectPr w:rsidR="00844002" w:rsidSect="003E30B4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33"/>
    <w:rsid w:val="003E30B4"/>
    <w:rsid w:val="00844002"/>
    <w:rsid w:val="00C2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25C3-53A7-40B1-A167-0104688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3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2014-10-20T07:20:00Z</dcterms:created>
  <dcterms:modified xsi:type="dcterms:W3CDTF">2014-10-20T07:20:00Z</dcterms:modified>
</cp:coreProperties>
</file>